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0956F0">
        <w:t>2 (Upper</w:t>
      </w:r>
      <w:r>
        <w:t>)</w:t>
      </w:r>
      <w:r w:rsidR="00B63661">
        <w:t xml:space="preserve"> Unit </w:t>
      </w:r>
      <w:r w:rsidR="000956F0">
        <w:t>1</w:t>
      </w:r>
      <w:r w:rsidR="00926A1B">
        <w:t>0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2693"/>
        <w:gridCol w:w="4111"/>
        <w:gridCol w:w="2977"/>
      </w:tblGrid>
      <w:tr w:rsidR="00010F1A" w:rsidRPr="009F5CF6">
        <w:tc>
          <w:tcPr>
            <w:tcW w:w="14709" w:type="dxa"/>
            <w:gridSpan w:val="5"/>
          </w:tcPr>
          <w:p w:rsidR="00F64E3C" w:rsidRPr="007A0D13" w:rsidRDefault="00007CB7" w:rsidP="008C7009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>Title</w:t>
            </w:r>
            <w:r w:rsidRPr="000956F0">
              <w:rPr>
                <w:b/>
                <w:sz w:val="22"/>
              </w:rPr>
              <w:t xml:space="preserve">: </w:t>
            </w:r>
            <w:r w:rsidR="000956F0" w:rsidRPr="000956F0">
              <w:rPr>
                <w:b/>
                <w:sz w:val="22"/>
              </w:rPr>
              <w:t xml:space="preserve">What does it mean to belong to a religion? </w:t>
            </w:r>
            <w:r w:rsidR="00926A1B">
              <w:rPr>
                <w:b/>
                <w:sz w:val="22"/>
              </w:rPr>
              <w:t>Hinduism</w:t>
            </w:r>
            <w:r w:rsidR="00F64E3C" w:rsidRPr="007A0D13">
              <w:rPr>
                <w:b/>
                <w:sz w:val="22"/>
              </w:rPr>
              <w:tab/>
            </w:r>
            <w:r w:rsidR="00926A1B">
              <w:rPr>
                <w:b/>
                <w:sz w:val="22"/>
              </w:rPr>
              <w:tab/>
            </w:r>
            <w:r w:rsidR="00926A1B">
              <w:rPr>
                <w:b/>
                <w:sz w:val="22"/>
              </w:rPr>
              <w:tab/>
            </w:r>
            <w:r w:rsidR="00926A1B">
              <w:rPr>
                <w:b/>
                <w:sz w:val="22"/>
              </w:rPr>
              <w:tab/>
            </w:r>
            <w:r w:rsidR="00926A1B">
              <w:rPr>
                <w:b/>
                <w:sz w:val="22"/>
              </w:rPr>
              <w:tab/>
            </w:r>
            <w:r w:rsidR="00926A1B">
              <w:rPr>
                <w:b/>
                <w:sz w:val="22"/>
              </w:rPr>
              <w:tab/>
            </w:r>
            <w:r w:rsidR="00926A1B">
              <w:rPr>
                <w:b/>
                <w:sz w:val="22"/>
              </w:rPr>
              <w:tab/>
            </w:r>
            <w:r w:rsidR="0075349A" w:rsidRPr="007A0D13">
              <w:rPr>
                <w:b/>
                <w:sz w:val="22"/>
              </w:rPr>
              <w:t>Areas of Enquiry: B</w:t>
            </w:r>
            <w:r w:rsidR="000956F0">
              <w:rPr>
                <w:b/>
                <w:sz w:val="22"/>
              </w:rPr>
              <w:t>,D&amp;E</w:t>
            </w:r>
          </w:p>
          <w:p w:rsidR="00F64E3C" w:rsidRPr="003211C3" w:rsidRDefault="0000033D" w:rsidP="008C7009">
            <w:pPr>
              <w:spacing w:before="60" w:after="60"/>
            </w:pPr>
            <w:r w:rsidRPr="007A0D13">
              <w:rPr>
                <w:b/>
                <w:sz w:val="22"/>
              </w:rPr>
              <w:t xml:space="preserve">Key Question: </w:t>
            </w:r>
            <w:r w:rsidR="003211C3">
              <w:rPr>
                <w:sz w:val="22"/>
              </w:rPr>
              <w:t>What does Diwali mean to Hindus in the UK today</w:t>
            </w:r>
            <w:r w:rsidR="00F64E3C" w:rsidRPr="007A0D13">
              <w:rPr>
                <w:sz w:val="22"/>
              </w:rPr>
              <w:t>?</w:t>
            </w:r>
            <w:r w:rsidR="00007CB7" w:rsidRPr="007A0D13">
              <w:rPr>
                <w:b/>
                <w:sz w:val="22"/>
              </w:rPr>
              <w:t xml:space="preserve"> </w:t>
            </w:r>
            <w:r w:rsidR="003211C3">
              <w:rPr>
                <w:b/>
                <w:sz w:val="22"/>
              </w:rPr>
              <w:t xml:space="preserve"> </w:t>
            </w:r>
            <w:r w:rsidR="003211C3">
              <w:rPr>
                <w:sz w:val="22"/>
              </w:rPr>
              <w:t>How does Diwali allow them to demonstrate their commitment to their faith?</w:t>
            </w:r>
          </w:p>
          <w:p w:rsidR="00010F1A" w:rsidRPr="007A0D13" w:rsidRDefault="00857C9F" w:rsidP="000E4F92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</w:t>
            </w:r>
            <w:r w:rsidR="000956F0">
              <w:rPr>
                <w:b/>
                <w:i/>
                <w:sz w:val="22"/>
              </w:rPr>
              <w:t xml:space="preserve">: </w:t>
            </w:r>
            <w:r w:rsidR="000956F0" w:rsidRPr="000956F0">
              <w:rPr>
                <w:i/>
                <w:sz w:val="22"/>
              </w:rPr>
              <w:t xml:space="preserve">c: </w:t>
            </w:r>
            <w:r w:rsidR="000956F0" w:rsidRPr="000956F0">
              <w:rPr>
                <w:sz w:val="22"/>
              </w:rPr>
              <w:t>ask important questions about social issues and suggest what might happen depending on different moral choices</w:t>
            </w:r>
            <w:r w:rsidR="000956F0">
              <w:rPr>
                <w:sz w:val="22"/>
              </w:rPr>
              <w:t xml:space="preserve">; </w:t>
            </w:r>
            <w:r w:rsidR="000E4F92">
              <w:rPr>
                <w:b/>
                <w:i/>
                <w:sz w:val="22"/>
              </w:rPr>
              <w:t>Hinduism</w:t>
            </w:r>
            <w:r w:rsidR="000956F0" w:rsidRPr="000956F0">
              <w:rPr>
                <w:i/>
                <w:sz w:val="22"/>
              </w:rPr>
              <w:t xml:space="preserve"> b: </w:t>
            </w:r>
            <w:r w:rsidR="000956F0" w:rsidRPr="000956F0">
              <w:rPr>
                <w:sz w:val="22"/>
              </w:rPr>
              <w:t>describe and compare how important aspects of a religion or belief are celebrated and remembered by different communities;</w:t>
            </w:r>
            <w:r w:rsidR="000956F0">
              <w:rPr>
                <w:sz w:val="22"/>
              </w:rPr>
              <w:t xml:space="preserve"> and </w:t>
            </w:r>
            <w:r w:rsidR="000956F0" w:rsidRPr="000956F0">
              <w:rPr>
                <w:i/>
                <w:sz w:val="22"/>
              </w:rPr>
              <w:t xml:space="preserve">c: </w:t>
            </w:r>
            <w:r w:rsidR="000956F0" w:rsidRPr="000956F0">
              <w:rPr>
                <w:sz w:val="22"/>
              </w:rPr>
              <w:t>describe and compare different ways of demonstrating a commitment to a tradition of religion and belief;</w:t>
            </w:r>
            <w:r w:rsidR="000956F0">
              <w:rPr>
                <w:sz w:val="22"/>
              </w:rPr>
              <w:t xml:space="preserve"> </w:t>
            </w:r>
            <w:r w:rsidRPr="007A0D13">
              <w:rPr>
                <w:b/>
                <w:i/>
                <w:sz w:val="22"/>
              </w:rPr>
              <w:t>Throughout: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sz w:val="22"/>
              </w:rPr>
              <w:t>provide good reason</w:t>
            </w:r>
            <w:r w:rsidR="00671EFD">
              <w:rPr>
                <w:sz w:val="22"/>
              </w:rPr>
              <w:t>s</w:t>
            </w:r>
            <w:r w:rsidRPr="007A0D13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9F5CF6">
        <w:tc>
          <w:tcPr>
            <w:tcW w:w="14709" w:type="dxa"/>
            <w:gridSpan w:val="5"/>
          </w:tcPr>
          <w:p w:rsidR="00010F1A" w:rsidRPr="009F5CF6" w:rsidRDefault="00F03338" w:rsidP="000E4F92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sz w:val="22"/>
              </w:rPr>
              <w:t xml:space="preserve">Context / Prior Learning: </w:t>
            </w:r>
            <w:r w:rsidR="00EF6157" w:rsidRPr="009F5CF6">
              <w:rPr>
                <w:sz w:val="22"/>
              </w:rPr>
              <w:t xml:space="preserve">Pupils have </w:t>
            </w:r>
            <w:r w:rsidR="000E4F92">
              <w:rPr>
                <w:sz w:val="22"/>
              </w:rPr>
              <w:t>engaged with the Scheme of Learning – Exemplar 2101</w:t>
            </w:r>
            <w:r w:rsidR="008D66B9">
              <w:rPr>
                <w:sz w:val="22"/>
              </w:rPr>
              <w:t xml:space="preserve"> or 2102</w:t>
            </w:r>
            <w:r w:rsidR="00B97A89" w:rsidRPr="009F5CF6">
              <w:rPr>
                <w:sz w:val="22"/>
              </w:rPr>
              <w:t>.</w:t>
            </w:r>
          </w:p>
        </w:tc>
      </w:tr>
      <w:tr w:rsidR="00010F1A" w:rsidRPr="009F5CF6">
        <w:tc>
          <w:tcPr>
            <w:tcW w:w="4928" w:type="dxa"/>
            <w:gridSpan w:val="2"/>
          </w:tcPr>
          <w:p w:rsidR="00010F1A" w:rsidRPr="009F5CF6" w:rsidRDefault="00010F1A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Assessment Activity</w:t>
            </w:r>
            <w:r w:rsidR="006E4AE5" w:rsidRPr="009F5CF6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693" w:type="dxa"/>
          </w:tcPr>
          <w:p w:rsidR="00010F1A" w:rsidRPr="009F5CF6" w:rsidRDefault="00010F1A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Developing</w:t>
            </w:r>
            <w:r w:rsidR="0044422B" w:rsidRPr="009F5CF6">
              <w:rPr>
                <w:b/>
                <w:bCs/>
                <w:sz w:val="22"/>
              </w:rPr>
              <w:t xml:space="preserve"> – Pupils: </w:t>
            </w:r>
            <w:r w:rsidR="006E4AE5" w:rsidRPr="009F5CF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111" w:type="dxa"/>
          </w:tcPr>
          <w:p w:rsidR="00010F1A" w:rsidRPr="009F5CF6" w:rsidRDefault="00010F1A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Secure</w:t>
            </w:r>
            <w:r w:rsidR="006E4AE5" w:rsidRPr="009F5CF6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2977" w:type="dxa"/>
          </w:tcPr>
          <w:p w:rsidR="00010F1A" w:rsidRPr="009F5CF6" w:rsidRDefault="00010F1A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Exceeding</w:t>
            </w:r>
            <w:r w:rsidR="006E4AE5" w:rsidRPr="009F5CF6">
              <w:rPr>
                <w:b/>
                <w:bCs/>
                <w:sz w:val="22"/>
              </w:rPr>
              <w:t xml:space="preserve"> – Pupils:</w:t>
            </w:r>
          </w:p>
        </w:tc>
      </w:tr>
      <w:tr w:rsidR="000E4F92" w:rsidRPr="009F5CF6">
        <w:trPr>
          <w:trHeight w:val="3437"/>
        </w:trPr>
        <w:tc>
          <w:tcPr>
            <w:tcW w:w="4928" w:type="dxa"/>
            <w:gridSpan w:val="2"/>
          </w:tcPr>
          <w:p w:rsidR="008D66B9" w:rsidRDefault="00AD41D7" w:rsidP="008D66B9">
            <w:pPr>
              <w:pStyle w:val="ListParagraph"/>
              <w:numPr>
                <w:ilvl w:val="0"/>
                <w:numId w:val="15"/>
              </w:numPr>
              <w:spacing w:before="60" w:after="60"/>
            </w:pPr>
            <w:r>
              <w:rPr>
                <w:sz w:val="22"/>
              </w:rPr>
              <w:t>engage with the following task:</w:t>
            </w:r>
            <w:r>
              <w:rPr>
                <w:sz w:val="22"/>
              </w:rPr>
              <w:br/>
            </w:r>
            <w:r w:rsidR="003211C3">
              <w:rPr>
                <w:sz w:val="22"/>
              </w:rPr>
              <w:t xml:space="preserve">Your local authority is offering money to fund faith and community events.  Write a </w:t>
            </w:r>
            <w:r w:rsidR="003211C3" w:rsidRPr="003211C3">
              <w:rPr>
                <w:b/>
                <w:sz w:val="22"/>
              </w:rPr>
              <w:t>funding application</w:t>
            </w:r>
            <w:r w:rsidR="003211C3">
              <w:rPr>
                <w:sz w:val="22"/>
              </w:rPr>
              <w:t xml:space="preserve"> on behalf of the Hindu community for a </w:t>
            </w:r>
            <w:r w:rsidR="003211C3" w:rsidRPr="003211C3">
              <w:rPr>
                <w:b/>
                <w:sz w:val="22"/>
              </w:rPr>
              <w:t>Diwali</w:t>
            </w:r>
            <w:r w:rsidR="003211C3">
              <w:rPr>
                <w:sz w:val="22"/>
              </w:rPr>
              <w:t xml:space="preserve"> celebration in your local area.  Include:</w:t>
            </w:r>
          </w:p>
          <w:p w:rsidR="000E4F92" w:rsidRPr="003211C3" w:rsidRDefault="003211C3" w:rsidP="008D66B9">
            <w:pPr>
              <w:pStyle w:val="ListParagraph"/>
              <w:numPr>
                <w:ilvl w:val="1"/>
                <w:numId w:val="15"/>
              </w:numPr>
              <w:spacing w:before="60" w:after="60"/>
            </w:pPr>
            <w:r>
              <w:rPr>
                <w:sz w:val="22"/>
              </w:rPr>
              <w:t xml:space="preserve">What a Diwali celebration might </w:t>
            </w:r>
            <w:r w:rsidRPr="003211C3">
              <w:rPr>
                <w:b/>
                <w:sz w:val="22"/>
              </w:rPr>
              <w:t>involve</w:t>
            </w:r>
            <w:r w:rsidR="00AD41D7">
              <w:rPr>
                <w:b/>
                <w:sz w:val="22"/>
              </w:rPr>
              <w:t>;</w:t>
            </w:r>
          </w:p>
          <w:p w:rsidR="003211C3" w:rsidRPr="003211C3" w:rsidRDefault="003211C3" w:rsidP="008D66B9">
            <w:pPr>
              <w:pStyle w:val="ListParagraph"/>
              <w:numPr>
                <w:ilvl w:val="1"/>
                <w:numId w:val="15"/>
              </w:numPr>
              <w:spacing w:before="60" w:after="60"/>
            </w:pPr>
            <w:r w:rsidRPr="003211C3">
              <w:rPr>
                <w:b/>
                <w:sz w:val="22"/>
              </w:rPr>
              <w:t>Why</w:t>
            </w:r>
            <w:r>
              <w:rPr>
                <w:sz w:val="22"/>
              </w:rPr>
              <w:t xml:space="preserve"> Hindus might celebrate in these ways</w:t>
            </w:r>
            <w:r w:rsidR="00AD41D7">
              <w:rPr>
                <w:sz w:val="22"/>
              </w:rPr>
              <w:t>;</w:t>
            </w:r>
          </w:p>
          <w:p w:rsidR="003211C3" w:rsidRPr="003211C3" w:rsidRDefault="003211C3" w:rsidP="008D66B9">
            <w:pPr>
              <w:pStyle w:val="ListParagraph"/>
              <w:numPr>
                <w:ilvl w:val="1"/>
                <w:numId w:val="15"/>
              </w:numPr>
              <w:spacing w:before="60" w:after="60"/>
            </w:pPr>
            <w:r>
              <w:rPr>
                <w:sz w:val="22"/>
              </w:rPr>
              <w:t xml:space="preserve">What the </w:t>
            </w:r>
            <w:r w:rsidRPr="003211C3">
              <w:rPr>
                <w:b/>
                <w:sz w:val="22"/>
              </w:rPr>
              <w:t>purpose</w:t>
            </w:r>
            <w:r>
              <w:rPr>
                <w:sz w:val="22"/>
              </w:rPr>
              <w:t xml:space="preserve"> of the celebration is e.g. stories that underpin it, and themes e.g. light triumphing over darkness</w:t>
            </w:r>
            <w:r w:rsidR="00AD41D7">
              <w:rPr>
                <w:sz w:val="22"/>
              </w:rPr>
              <w:t>;</w:t>
            </w:r>
          </w:p>
          <w:p w:rsidR="003211C3" w:rsidRPr="003211C3" w:rsidRDefault="003211C3" w:rsidP="003211C3">
            <w:pPr>
              <w:pStyle w:val="ListParagraph"/>
              <w:numPr>
                <w:ilvl w:val="1"/>
                <w:numId w:val="15"/>
              </w:numPr>
              <w:spacing w:before="60" w:after="60"/>
            </w:pPr>
            <w:r>
              <w:rPr>
                <w:sz w:val="22"/>
              </w:rPr>
              <w:t xml:space="preserve">How the celebration shows </w:t>
            </w:r>
            <w:r w:rsidRPr="003211C3">
              <w:rPr>
                <w:b/>
                <w:sz w:val="22"/>
              </w:rPr>
              <w:t>commitment</w:t>
            </w:r>
            <w:r>
              <w:rPr>
                <w:sz w:val="22"/>
              </w:rPr>
              <w:t xml:space="preserve"> to Hindu faith e.g. why it would be a public event, why they might provide vegetarian food</w:t>
            </w:r>
            <w:r w:rsidR="00AD41D7">
              <w:rPr>
                <w:sz w:val="22"/>
              </w:rPr>
              <w:t>;</w:t>
            </w:r>
          </w:p>
          <w:p w:rsidR="003211C3" w:rsidRPr="004D403D" w:rsidRDefault="003211C3" w:rsidP="003211C3">
            <w:pPr>
              <w:pStyle w:val="ListParagraph"/>
              <w:numPr>
                <w:ilvl w:val="1"/>
                <w:numId w:val="15"/>
              </w:numPr>
              <w:spacing w:before="60" w:after="60"/>
            </w:pPr>
            <w:r>
              <w:rPr>
                <w:sz w:val="22"/>
              </w:rPr>
              <w:t xml:space="preserve">What a </w:t>
            </w:r>
            <w:r w:rsidRPr="003211C3">
              <w:rPr>
                <w:b/>
                <w:sz w:val="22"/>
              </w:rPr>
              <w:t>non-Hindu</w:t>
            </w:r>
            <w:r>
              <w:rPr>
                <w:sz w:val="22"/>
              </w:rPr>
              <w:t xml:space="preserve"> might get from the celebration</w:t>
            </w:r>
            <w:r w:rsidR="00AD41D7">
              <w:rPr>
                <w:sz w:val="22"/>
              </w:rPr>
              <w:t>.</w:t>
            </w:r>
          </w:p>
          <w:p w:rsidR="000E4F92" w:rsidRPr="004D403D" w:rsidRDefault="000E4F92" w:rsidP="003211C3">
            <w:pPr>
              <w:pStyle w:val="ListParagraph"/>
              <w:spacing w:before="60" w:after="60"/>
              <w:ind w:left="227"/>
            </w:pPr>
          </w:p>
        </w:tc>
        <w:tc>
          <w:tcPr>
            <w:tcW w:w="2693" w:type="dxa"/>
          </w:tcPr>
          <w:p w:rsidR="000E4F92" w:rsidRPr="004D403D" w:rsidRDefault="00AD41D7" w:rsidP="000E4F92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</w:t>
            </w:r>
            <w:r w:rsidR="00316084">
              <w:rPr>
                <w:sz w:val="22"/>
              </w:rPr>
              <w:t>escribe some of the practices e.g. lighting Diwa lamps – link – but not draw out meaning</w:t>
            </w:r>
          </w:p>
          <w:p w:rsidR="000E4F92" w:rsidRPr="004D403D" w:rsidRDefault="00AD41D7" w:rsidP="008D66B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</w:t>
            </w:r>
            <w:r w:rsidR="00316084">
              <w:rPr>
                <w:sz w:val="22"/>
              </w:rPr>
              <w:t>escribe some of the things a Hindu might do before</w:t>
            </w:r>
            <w:r>
              <w:rPr>
                <w:sz w:val="22"/>
              </w:rPr>
              <w:t>,</w:t>
            </w:r>
            <w:r w:rsidR="00316084">
              <w:rPr>
                <w:sz w:val="22"/>
              </w:rPr>
              <w:t xml:space="preserve"> e.g. clean the house – but not clearly link to religious ideas such as making a new beginning, or welcoming guests</w:t>
            </w:r>
            <w:r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0E4F92" w:rsidRPr="005541EE" w:rsidRDefault="00AD41D7" w:rsidP="005541EE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e</w:t>
            </w:r>
            <w:r w:rsidR="00DF1FCA">
              <w:rPr>
                <w:sz w:val="22"/>
              </w:rPr>
              <w:t>xp</w:t>
            </w:r>
            <w:r w:rsidR="00316084">
              <w:rPr>
                <w:sz w:val="22"/>
              </w:rPr>
              <w:t>lain some of the deeper meaning of Diwali</w:t>
            </w:r>
            <w:r>
              <w:rPr>
                <w:sz w:val="22"/>
              </w:rPr>
              <w:t>,</w:t>
            </w:r>
            <w:r w:rsidR="00316084">
              <w:rPr>
                <w:sz w:val="22"/>
              </w:rPr>
              <w:t xml:space="preserve"> e.g. Rama and Sita repre</w:t>
            </w:r>
            <w:r>
              <w:rPr>
                <w:sz w:val="22"/>
              </w:rPr>
              <w:t>sent living according to Dharma;</w:t>
            </w:r>
            <w:r w:rsidR="00316084">
              <w:rPr>
                <w:sz w:val="22"/>
              </w:rPr>
              <w:t xml:space="preserve">  </w:t>
            </w:r>
            <w:r>
              <w:rPr>
                <w:sz w:val="22"/>
              </w:rPr>
              <w:t>t</w:t>
            </w:r>
            <w:r w:rsidR="00316084">
              <w:rPr>
                <w:sz w:val="22"/>
              </w:rPr>
              <w:t>hat light triumphs over darkness - Hindus celebrate this in a joyful way</w:t>
            </w:r>
            <w:r>
              <w:rPr>
                <w:sz w:val="22"/>
              </w:rPr>
              <w:t>;</w:t>
            </w:r>
          </w:p>
          <w:p w:rsidR="000E4F92" w:rsidRPr="00316084" w:rsidRDefault="00AD41D7" w:rsidP="005541EE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e</w:t>
            </w:r>
            <w:r w:rsidR="00316084">
              <w:rPr>
                <w:sz w:val="22"/>
              </w:rPr>
              <w:t>xplain some of the practices associated with Diwali and why they take place</w:t>
            </w:r>
            <w:r>
              <w:rPr>
                <w:sz w:val="22"/>
              </w:rPr>
              <w:t>, e</w:t>
            </w:r>
            <w:r w:rsidR="00316084">
              <w:rPr>
                <w:sz w:val="22"/>
              </w:rPr>
              <w:t>.g. linking the lighting of lamps with the belief that the Goddess Lakshmi might bring wealth and prosperity</w:t>
            </w:r>
            <w:r>
              <w:rPr>
                <w:sz w:val="22"/>
              </w:rPr>
              <w:t>;</w:t>
            </w:r>
          </w:p>
          <w:p w:rsidR="00316084" w:rsidRPr="00316084" w:rsidRDefault="00AD41D7" w:rsidP="005541EE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explain</w:t>
            </w:r>
            <w:r w:rsidR="00316084">
              <w:rPr>
                <w:sz w:val="22"/>
              </w:rPr>
              <w:t xml:space="preserve"> that Hindus celebrate publicly because they want to share as a community – this is a time to celebrate a joint commitment to faith</w:t>
            </w:r>
            <w:r w:rsidR="00C028B7">
              <w:rPr>
                <w:sz w:val="22"/>
              </w:rPr>
              <w:t xml:space="preserve">; </w:t>
            </w:r>
            <w:r>
              <w:rPr>
                <w:sz w:val="22"/>
              </w:rPr>
              <w:t>h</w:t>
            </w:r>
            <w:r w:rsidR="00316084">
              <w:rPr>
                <w:sz w:val="22"/>
              </w:rPr>
              <w:t>ospitality to friends and family</w:t>
            </w:r>
            <w:r>
              <w:rPr>
                <w:sz w:val="22"/>
              </w:rPr>
              <w:t>;</w:t>
            </w:r>
          </w:p>
          <w:p w:rsidR="00316084" w:rsidRPr="004D403D" w:rsidRDefault="00AD41D7" w:rsidP="00316084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e</w:t>
            </w:r>
            <w:r w:rsidR="00316084">
              <w:rPr>
                <w:sz w:val="22"/>
              </w:rPr>
              <w:t>xplain some links between Diwali and</w:t>
            </w:r>
            <w:r>
              <w:rPr>
                <w:sz w:val="22"/>
              </w:rPr>
              <w:t xml:space="preserve"> other festivals at this time, </w:t>
            </w:r>
            <w:r w:rsidR="00316084">
              <w:rPr>
                <w:sz w:val="22"/>
              </w:rPr>
              <w:t xml:space="preserve">e.g. </w:t>
            </w:r>
            <w:bookmarkStart w:id="0" w:name="_GoBack"/>
            <w:bookmarkEnd w:id="0"/>
            <w:r w:rsidR="00316084">
              <w:rPr>
                <w:sz w:val="22"/>
              </w:rPr>
              <w:t>we have fireworks on Bonfire night and other festivals of light.</w:t>
            </w:r>
          </w:p>
        </w:tc>
        <w:tc>
          <w:tcPr>
            <w:tcW w:w="2977" w:type="dxa"/>
          </w:tcPr>
          <w:p w:rsidR="000E4F92" w:rsidRPr="004D403D" w:rsidRDefault="00AD41D7" w:rsidP="000E4F92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</w:t>
            </w:r>
            <w:r w:rsidR="00316084">
              <w:rPr>
                <w:sz w:val="22"/>
              </w:rPr>
              <w:t>raw out the fact that Hindus may focus on either the Rama story or Lakshmi – but they both show important ideas about God (Brahman)</w:t>
            </w:r>
            <w:r w:rsidR="00C028B7">
              <w:rPr>
                <w:sz w:val="22"/>
              </w:rPr>
              <w:t>;</w:t>
            </w:r>
          </w:p>
          <w:p w:rsidR="00FF54BF" w:rsidRDefault="00C028B7" w:rsidP="00FF54BF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e</w:t>
            </w:r>
            <w:r w:rsidR="000E4F92" w:rsidRPr="004D403D">
              <w:rPr>
                <w:sz w:val="22"/>
              </w:rPr>
              <w:t xml:space="preserve">xplain why </w:t>
            </w:r>
            <w:r w:rsidR="00FF54BF">
              <w:rPr>
                <w:sz w:val="22"/>
              </w:rPr>
              <w:t>some</w:t>
            </w:r>
            <w:r w:rsidR="005541EE">
              <w:rPr>
                <w:sz w:val="22"/>
              </w:rPr>
              <w:t>, but not all</w:t>
            </w:r>
            <w:r w:rsidR="00FF54BF">
              <w:rPr>
                <w:sz w:val="22"/>
              </w:rPr>
              <w:t xml:space="preserve"> Hindus </w:t>
            </w:r>
            <w:r w:rsidR="00316084">
              <w:rPr>
                <w:sz w:val="22"/>
              </w:rPr>
              <w:t xml:space="preserve">will </w:t>
            </w:r>
            <w:r w:rsidR="00FF54BF">
              <w:rPr>
                <w:sz w:val="22"/>
              </w:rPr>
              <w:t>be vegetarians</w:t>
            </w:r>
            <w:r w:rsidR="00316084">
              <w:rPr>
                <w:sz w:val="22"/>
              </w:rPr>
              <w:t>, and relate this to atman and Brahman</w:t>
            </w:r>
            <w:r>
              <w:rPr>
                <w:sz w:val="22"/>
              </w:rPr>
              <w:t>;</w:t>
            </w:r>
          </w:p>
          <w:p w:rsidR="000E4F92" w:rsidRPr="004D403D" w:rsidRDefault="00C028B7" w:rsidP="005541EE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e</w:t>
            </w:r>
            <w:r w:rsidR="00316084">
              <w:rPr>
                <w:sz w:val="22"/>
              </w:rPr>
              <w:t>xplain how a non Hindu might still relate to aspects of the practices – link to ideas in another religion</w:t>
            </w:r>
            <w:r>
              <w:rPr>
                <w:sz w:val="22"/>
              </w:rPr>
              <w:t>,</w:t>
            </w:r>
            <w:r w:rsidR="00316084">
              <w:rPr>
                <w:sz w:val="22"/>
              </w:rPr>
              <w:t xml:space="preserve"> e.g. Christians see the birth of Jesus as the coming of light</w:t>
            </w:r>
            <w:r>
              <w:rPr>
                <w:sz w:val="22"/>
              </w:rPr>
              <w:t>.</w:t>
            </w:r>
          </w:p>
        </w:tc>
      </w:tr>
      <w:tr w:rsidR="000E4F92" w:rsidRPr="009F5CF6">
        <w:trPr>
          <w:trHeight w:val="1285"/>
        </w:trPr>
        <w:tc>
          <w:tcPr>
            <w:tcW w:w="3369" w:type="dxa"/>
          </w:tcPr>
          <w:p w:rsidR="000E4F92" w:rsidRPr="009F5CF6" w:rsidRDefault="000E4F92" w:rsidP="008C7009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Key Concepts</w:t>
            </w:r>
          </w:p>
          <w:p w:rsidR="000E4F92" w:rsidRPr="004D403D" w:rsidRDefault="003211C3" w:rsidP="00926A1B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Diverse forms of God</w:t>
            </w:r>
          </w:p>
          <w:p w:rsidR="000E4F92" w:rsidRPr="004D403D" w:rsidRDefault="003211C3" w:rsidP="00926A1B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Love, devotion and respect</w:t>
            </w:r>
          </w:p>
          <w:p w:rsidR="003211C3" w:rsidRPr="003211C3" w:rsidRDefault="003211C3" w:rsidP="005541EE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Belonging and community</w:t>
            </w:r>
          </w:p>
          <w:p w:rsidR="003211C3" w:rsidRPr="005541EE" w:rsidRDefault="003211C3" w:rsidP="005541EE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Ritual and Practice</w:t>
            </w:r>
          </w:p>
        </w:tc>
        <w:tc>
          <w:tcPr>
            <w:tcW w:w="1559" w:type="dxa"/>
          </w:tcPr>
          <w:p w:rsidR="005541EE" w:rsidRDefault="000E4F92" w:rsidP="008C7009">
            <w:pPr>
              <w:spacing w:before="60" w:after="60"/>
              <w:rPr>
                <w:b/>
              </w:rPr>
            </w:pPr>
            <w:r w:rsidRPr="009F5CF6">
              <w:rPr>
                <w:b/>
                <w:sz w:val="22"/>
              </w:rPr>
              <w:t>Pupils’ Attainment (names)</w:t>
            </w:r>
          </w:p>
          <w:p w:rsidR="005541EE" w:rsidRDefault="005541EE" w:rsidP="008C7009">
            <w:pPr>
              <w:spacing w:before="60" w:after="60"/>
              <w:rPr>
                <w:b/>
              </w:rPr>
            </w:pPr>
          </w:p>
          <w:p w:rsidR="000E4F92" w:rsidRPr="009F5CF6" w:rsidRDefault="000E4F92" w:rsidP="008C7009">
            <w:pPr>
              <w:spacing w:before="60" w:after="60"/>
              <w:rPr>
                <w:bCs/>
              </w:rPr>
            </w:pPr>
          </w:p>
        </w:tc>
        <w:tc>
          <w:tcPr>
            <w:tcW w:w="2693" w:type="dxa"/>
          </w:tcPr>
          <w:p w:rsidR="000E4F92" w:rsidRPr="009F5CF6" w:rsidRDefault="000E4F92" w:rsidP="008C7009">
            <w:pPr>
              <w:spacing w:before="60" w:after="60"/>
              <w:rPr>
                <w:b/>
                <w:bCs/>
              </w:rPr>
            </w:pPr>
          </w:p>
          <w:p w:rsidR="000E4F92" w:rsidRPr="009F5CF6" w:rsidRDefault="000E4F92" w:rsidP="008C7009">
            <w:pPr>
              <w:spacing w:before="60" w:after="60"/>
              <w:rPr>
                <w:b/>
                <w:bCs/>
              </w:rPr>
            </w:pPr>
          </w:p>
          <w:p w:rsidR="000E4F92" w:rsidRPr="009F5CF6" w:rsidRDefault="000E4F92" w:rsidP="008C7009">
            <w:pPr>
              <w:spacing w:before="60" w:after="60"/>
              <w:rPr>
                <w:b/>
                <w:bCs/>
              </w:rPr>
            </w:pPr>
          </w:p>
          <w:p w:rsidR="000E4F92" w:rsidRPr="009F5CF6" w:rsidRDefault="000E4F92" w:rsidP="008C700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111" w:type="dxa"/>
          </w:tcPr>
          <w:p w:rsidR="000E4F92" w:rsidRPr="009F5CF6" w:rsidRDefault="000E4F92" w:rsidP="008C700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</w:tcPr>
          <w:p w:rsidR="000E4F92" w:rsidRPr="009F5CF6" w:rsidRDefault="000E4F92" w:rsidP="008C7009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Default="00010F1A" w:rsidP="00553556">
      <w:pPr>
        <w:tabs>
          <w:tab w:val="left" w:pos="720"/>
        </w:tabs>
        <w:spacing w:before="20" w:after="20"/>
      </w:pPr>
    </w:p>
    <w:sectPr w:rsidR="00010F1A" w:rsidSect="003702B3"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D7" w:rsidRDefault="00AD41D7">
      <w:r>
        <w:separator/>
      </w:r>
    </w:p>
  </w:endnote>
  <w:endnote w:type="continuationSeparator" w:id="0">
    <w:p w:rsidR="00AD41D7" w:rsidRDefault="00AD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7" w:rsidRPr="009F5CF6" w:rsidRDefault="00AD41D7" w:rsidP="00E3333B">
    <w:pPr>
      <w:pStyle w:val="Footer"/>
      <w:ind w:right="360"/>
      <w:jc w:val="center"/>
      <w:rPr>
        <w:sz w:val="18"/>
      </w:rPr>
    </w:pPr>
  </w:p>
  <w:p w:rsidR="00AD41D7" w:rsidRPr="009F5CF6" w:rsidRDefault="00AD41D7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D7" w:rsidRDefault="00AD41D7">
      <w:r>
        <w:separator/>
      </w:r>
    </w:p>
  </w:footnote>
  <w:footnote w:type="continuationSeparator" w:id="0">
    <w:p w:rsidR="00AD41D7" w:rsidRDefault="00AD41D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044F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C4333"/>
    <w:multiLevelType w:val="multilevel"/>
    <w:tmpl w:val="1A9AF2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033D"/>
    <w:rsid w:val="0000780D"/>
    <w:rsid w:val="00007CB7"/>
    <w:rsid w:val="00010F1A"/>
    <w:rsid w:val="000222B8"/>
    <w:rsid w:val="000752B1"/>
    <w:rsid w:val="00085968"/>
    <w:rsid w:val="000956F0"/>
    <w:rsid w:val="000A5F66"/>
    <w:rsid w:val="000C052C"/>
    <w:rsid w:val="000D57F6"/>
    <w:rsid w:val="000E4F92"/>
    <w:rsid w:val="000F6DC4"/>
    <w:rsid w:val="000F7EEE"/>
    <w:rsid w:val="00122637"/>
    <w:rsid w:val="001468E7"/>
    <w:rsid w:val="001643B8"/>
    <w:rsid w:val="00226EA1"/>
    <w:rsid w:val="002B03D0"/>
    <w:rsid w:val="002D2BF6"/>
    <w:rsid w:val="002E3432"/>
    <w:rsid w:val="00310AB9"/>
    <w:rsid w:val="00316084"/>
    <w:rsid w:val="003211C3"/>
    <w:rsid w:val="003339DB"/>
    <w:rsid w:val="003342FF"/>
    <w:rsid w:val="003702B3"/>
    <w:rsid w:val="003810BF"/>
    <w:rsid w:val="003935EF"/>
    <w:rsid w:val="003A1CA9"/>
    <w:rsid w:val="003D294C"/>
    <w:rsid w:val="0040119E"/>
    <w:rsid w:val="0040644D"/>
    <w:rsid w:val="0044422B"/>
    <w:rsid w:val="00486578"/>
    <w:rsid w:val="00500F68"/>
    <w:rsid w:val="00550980"/>
    <w:rsid w:val="00553556"/>
    <w:rsid w:val="005541EE"/>
    <w:rsid w:val="005769C4"/>
    <w:rsid w:val="005A052C"/>
    <w:rsid w:val="006002B3"/>
    <w:rsid w:val="0065239A"/>
    <w:rsid w:val="00663948"/>
    <w:rsid w:val="00671EFD"/>
    <w:rsid w:val="00696CD8"/>
    <w:rsid w:val="006B5CE9"/>
    <w:rsid w:val="006E4AE5"/>
    <w:rsid w:val="007209AD"/>
    <w:rsid w:val="00727BD1"/>
    <w:rsid w:val="0075349A"/>
    <w:rsid w:val="007613B2"/>
    <w:rsid w:val="007A0D13"/>
    <w:rsid w:val="007B1107"/>
    <w:rsid w:val="007C2C95"/>
    <w:rsid w:val="008011D7"/>
    <w:rsid w:val="008050D4"/>
    <w:rsid w:val="008200C2"/>
    <w:rsid w:val="008407DA"/>
    <w:rsid w:val="00857C9F"/>
    <w:rsid w:val="008768C1"/>
    <w:rsid w:val="008C7009"/>
    <w:rsid w:val="008D66B9"/>
    <w:rsid w:val="008E1DD4"/>
    <w:rsid w:val="00900BED"/>
    <w:rsid w:val="00917D35"/>
    <w:rsid w:val="00926A1B"/>
    <w:rsid w:val="00936C1D"/>
    <w:rsid w:val="009443D6"/>
    <w:rsid w:val="009D1AA3"/>
    <w:rsid w:val="009F5CF6"/>
    <w:rsid w:val="00A56D0B"/>
    <w:rsid w:val="00A735BA"/>
    <w:rsid w:val="00AD41D7"/>
    <w:rsid w:val="00B11DDF"/>
    <w:rsid w:val="00B56C9E"/>
    <w:rsid w:val="00B63661"/>
    <w:rsid w:val="00B73252"/>
    <w:rsid w:val="00B735E2"/>
    <w:rsid w:val="00B91598"/>
    <w:rsid w:val="00B97A89"/>
    <w:rsid w:val="00BC30DB"/>
    <w:rsid w:val="00C028B7"/>
    <w:rsid w:val="00C2390E"/>
    <w:rsid w:val="00C76ACC"/>
    <w:rsid w:val="00C97134"/>
    <w:rsid w:val="00CB472A"/>
    <w:rsid w:val="00CE7256"/>
    <w:rsid w:val="00D21A72"/>
    <w:rsid w:val="00D258E4"/>
    <w:rsid w:val="00D72019"/>
    <w:rsid w:val="00D8210A"/>
    <w:rsid w:val="00D84D57"/>
    <w:rsid w:val="00D951E7"/>
    <w:rsid w:val="00DA136A"/>
    <w:rsid w:val="00DD0E50"/>
    <w:rsid w:val="00DE711C"/>
    <w:rsid w:val="00DF1FCA"/>
    <w:rsid w:val="00E15F3C"/>
    <w:rsid w:val="00E3333B"/>
    <w:rsid w:val="00E501EA"/>
    <w:rsid w:val="00E676C2"/>
    <w:rsid w:val="00EA4EF8"/>
    <w:rsid w:val="00EC398B"/>
    <w:rsid w:val="00EF6157"/>
    <w:rsid w:val="00F03338"/>
    <w:rsid w:val="00F64E3C"/>
    <w:rsid w:val="00F764C0"/>
    <w:rsid w:val="00F84433"/>
    <w:rsid w:val="00FA6A0B"/>
    <w:rsid w:val="00FA7EF3"/>
    <w:rsid w:val="00FB19B8"/>
    <w:rsid w:val="00FD78AA"/>
    <w:rsid w:val="00FE1F3E"/>
    <w:rsid w:val="00FF54B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CE21-6DF0-DC4E-AC5D-722FC2E4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Dave Francis</cp:lastModifiedBy>
  <cp:revision>4</cp:revision>
  <dcterms:created xsi:type="dcterms:W3CDTF">2016-10-18T09:13:00Z</dcterms:created>
  <dcterms:modified xsi:type="dcterms:W3CDTF">2016-10-19T14:15:00Z</dcterms:modified>
</cp:coreProperties>
</file>