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Default="00153D68" w:rsidP="00F03338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 w:rsidR="00B63661">
        <w:t xml:space="preserve">Key Stage </w:t>
      </w:r>
      <w:r w:rsidR="00486578">
        <w:t>1</w:t>
      </w:r>
      <w:r w:rsidR="00B63661">
        <w:t xml:space="preserve"> Unit </w:t>
      </w:r>
      <w:r w:rsidR="00D208BB">
        <w:t>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268"/>
        <w:gridCol w:w="3355"/>
        <w:gridCol w:w="3355"/>
        <w:gridCol w:w="3355"/>
      </w:tblGrid>
      <w:tr w:rsidR="00010F1A" w:rsidRPr="0038640C">
        <w:tc>
          <w:tcPr>
            <w:tcW w:w="14709" w:type="dxa"/>
            <w:gridSpan w:val="5"/>
          </w:tcPr>
          <w:p w:rsidR="00153D68" w:rsidRPr="0038640C" w:rsidRDefault="00007CB7" w:rsidP="00153D68">
            <w:pPr>
              <w:spacing w:before="60" w:after="60"/>
              <w:rPr>
                <w:b/>
              </w:rPr>
            </w:pPr>
            <w:r w:rsidRPr="0038640C">
              <w:rPr>
                <w:b/>
                <w:sz w:val="22"/>
              </w:rPr>
              <w:t xml:space="preserve">Title: </w:t>
            </w:r>
            <w:bookmarkStart w:id="0" w:name="_GoBack"/>
            <w:r w:rsidR="00486578" w:rsidRPr="0038640C">
              <w:rPr>
                <w:b/>
                <w:sz w:val="22"/>
              </w:rPr>
              <w:t xml:space="preserve">Why are some </w:t>
            </w:r>
            <w:r w:rsidR="00D208BB" w:rsidRPr="0038640C">
              <w:rPr>
                <w:b/>
                <w:sz w:val="22"/>
              </w:rPr>
              <w:t>times</w:t>
            </w:r>
            <w:r w:rsidR="00486578" w:rsidRPr="0038640C">
              <w:rPr>
                <w:b/>
                <w:sz w:val="22"/>
              </w:rPr>
              <w:t xml:space="preserve"> special</w:t>
            </w:r>
            <w:r w:rsidRPr="0038640C">
              <w:rPr>
                <w:b/>
                <w:sz w:val="22"/>
              </w:rPr>
              <w:t>?</w:t>
            </w:r>
            <w:bookmarkEnd w:id="0"/>
            <w:r w:rsidRPr="0038640C">
              <w:rPr>
                <w:b/>
                <w:sz w:val="22"/>
              </w:rPr>
              <w:t xml:space="preserve"> </w:t>
            </w:r>
            <w:r w:rsidRPr="0038640C">
              <w:rPr>
                <w:b/>
                <w:sz w:val="22"/>
              </w:rPr>
              <w:tab/>
            </w:r>
            <w:r w:rsidR="006002B3" w:rsidRPr="0038640C">
              <w:rPr>
                <w:b/>
                <w:sz w:val="22"/>
              </w:rPr>
              <w:tab/>
            </w:r>
            <w:r w:rsidR="00153D68" w:rsidRPr="0038640C">
              <w:rPr>
                <w:b/>
                <w:sz w:val="22"/>
              </w:rPr>
              <w:tab/>
            </w:r>
            <w:r w:rsidR="00153D68" w:rsidRPr="0038640C">
              <w:rPr>
                <w:b/>
                <w:sz w:val="22"/>
              </w:rPr>
              <w:tab/>
            </w:r>
            <w:r w:rsidR="00153D68" w:rsidRPr="0038640C">
              <w:rPr>
                <w:b/>
                <w:sz w:val="22"/>
              </w:rPr>
              <w:tab/>
            </w:r>
            <w:r w:rsidR="00153D68" w:rsidRPr="0038640C">
              <w:rPr>
                <w:b/>
                <w:sz w:val="22"/>
              </w:rPr>
              <w:tab/>
            </w:r>
            <w:r w:rsidR="00153D68" w:rsidRPr="0038640C">
              <w:rPr>
                <w:b/>
                <w:sz w:val="22"/>
              </w:rPr>
              <w:tab/>
            </w:r>
            <w:r w:rsidR="00153D68" w:rsidRPr="0038640C">
              <w:rPr>
                <w:b/>
                <w:sz w:val="22"/>
              </w:rPr>
              <w:tab/>
            </w:r>
            <w:r w:rsidR="00153D68" w:rsidRPr="0038640C">
              <w:rPr>
                <w:b/>
                <w:sz w:val="22"/>
              </w:rPr>
              <w:tab/>
            </w:r>
            <w:r w:rsidR="00153D68" w:rsidRPr="0038640C">
              <w:rPr>
                <w:b/>
                <w:sz w:val="22"/>
              </w:rPr>
              <w:tab/>
              <w:t xml:space="preserve">Areas of Enquiry: </w:t>
            </w:r>
            <w:r w:rsidR="00D208BB" w:rsidRPr="0038640C">
              <w:rPr>
                <w:b/>
                <w:sz w:val="22"/>
              </w:rPr>
              <w:t>B</w:t>
            </w:r>
            <w:r w:rsidR="00153D68" w:rsidRPr="0038640C">
              <w:rPr>
                <w:b/>
                <w:sz w:val="22"/>
              </w:rPr>
              <w:t>&amp;</w:t>
            </w:r>
            <w:r w:rsidR="00D208BB" w:rsidRPr="0038640C">
              <w:rPr>
                <w:b/>
                <w:sz w:val="22"/>
              </w:rPr>
              <w:t>E</w:t>
            </w:r>
          </w:p>
          <w:p w:rsidR="00153D68" w:rsidRPr="0038640C" w:rsidRDefault="00486578" w:rsidP="00153D68">
            <w:pPr>
              <w:spacing w:before="60" w:after="60"/>
              <w:rPr>
                <w:b/>
              </w:rPr>
            </w:pPr>
            <w:r w:rsidRPr="0038640C">
              <w:rPr>
                <w:b/>
                <w:sz w:val="22"/>
              </w:rPr>
              <w:t xml:space="preserve">Key Question: </w:t>
            </w:r>
            <w:r w:rsidR="00D208BB" w:rsidRPr="0038640C">
              <w:rPr>
                <w:b/>
                <w:sz w:val="22"/>
              </w:rPr>
              <w:t>Why are some festivals and celebrations special</w:t>
            </w:r>
            <w:r w:rsidRPr="0038640C">
              <w:rPr>
                <w:b/>
                <w:sz w:val="22"/>
              </w:rPr>
              <w:t>?</w:t>
            </w:r>
          </w:p>
          <w:p w:rsidR="00010F1A" w:rsidRPr="0038640C" w:rsidRDefault="00153D68" w:rsidP="00D208BB">
            <w:pPr>
              <w:spacing w:before="60" w:after="60"/>
              <w:rPr>
                <w:b/>
                <w:bCs/>
              </w:rPr>
            </w:pPr>
            <w:r w:rsidRPr="0038640C">
              <w:rPr>
                <w:b/>
                <w:sz w:val="22"/>
              </w:rPr>
              <w:t xml:space="preserve">Outcomes: </w:t>
            </w:r>
            <w:r w:rsidRPr="0038640C">
              <w:rPr>
                <w:b/>
                <w:i/>
                <w:sz w:val="22"/>
              </w:rPr>
              <w:t>Investigation of religious and non-religious worldviews:</w:t>
            </w:r>
            <w:r w:rsidRPr="0038640C">
              <w:rPr>
                <w:b/>
                <w:sz w:val="22"/>
              </w:rPr>
              <w:t xml:space="preserve"> </w:t>
            </w:r>
            <w:r w:rsidR="00D208BB" w:rsidRPr="0038640C">
              <w:rPr>
                <w:i/>
                <w:sz w:val="22"/>
              </w:rPr>
              <w:t>b</w:t>
            </w:r>
            <w:r w:rsidRPr="0038640C">
              <w:rPr>
                <w:i/>
                <w:sz w:val="22"/>
              </w:rPr>
              <w:t>:</w:t>
            </w:r>
            <w:r w:rsidRPr="0038640C">
              <w:rPr>
                <w:sz w:val="22"/>
              </w:rPr>
              <w:t xml:space="preserve"> </w:t>
            </w:r>
            <w:r w:rsidR="00D208BB" w:rsidRPr="0038640C">
              <w:t>talk about some things about people, that make people ask questions</w:t>
            </w:r>
            <w:r w:rsidRPr="0038640C">
              <w:rPr>
                <w:sz w:val="22"/>
              </w:rPr>
              <w:t>;</w:t>
            </w:r>
            <w:r w:rsidRPr="0038640C">
              <w:rPr>
                <w:b/>
                <w:sz w:val="22"/>
              </w:rPr>
              <w:t xml:space="preserve"> </w:t>
            </w:r>
            <w:r w:rsidR="00D208BB" w:rsidRPr="0038640C">
              <w:rPr>
                <w:b/>
                <w:i/>
                <w:sz w:val="22"/>
              </w:rPr>
              <w:t>Judaism</w:t>
            </w:r>
            <w:r w:rsidRPr="0038640C">
              <w:rPr>
                <w:b/>
                <w:i/>
                <w:sz w:val="22"/>
              </w:rPr>
              <w:t xml:space="preserve"> </w:t>
            </w:r>
            <w:r w:rsidR="00D208BB" w:rsidRPr="0038640C">
              <w:rPr>
                <w:i/>
                <w:sz w:val="22"/>
              </w:rPr>
              <w:t>d</w:t>
            </w:r>
            <w:r w:rsidRPr="0038640C">
              <w:rPr>
                <w:i/>
                <w:sz w:val="22"/>
              </w:rPr>
              <w:t>:</w:t>
            </w:r>
            <w:r w:rsidRPr="0038640C">
              <w:rPr>
                <w:sz w:val="22"/>
              </w:rPr>
              <w:t xml:space="preserve"> </w:t>
            </w:r>
            <w:r w:rsidR="00D208BB" w:rsidRPr="0038640C">
              <w:t>recall key features of an inspirational event, place, ritual or special occasion</w:t>
            </w:r>
            <w:r w:rsidRPr="0038640C">
              <w:rPr>
                <w:sz w:val="22"/>
              </w:rPr>
              <w:t xml:space="preserve">; </w:t>
            </w:r>
            <w:r w:rsidRPr="0038640C">
              <w:rPr>
                <w:b/>
                <w:i/>
                <w:sz w:val="22"/>
              </w:rPr>
              <w:t>Throughout:</w:t>
            </w:r>
            <w:r w:rsidRPr="0038640C">
              <w:rPr>
                <w:b/>
                <w:sz w:val="22"/>
              </w:rPr>
              <w:t xml:space="preserve"> </w:t>
            </w:r>
            <w:r w:rsidRPr="0038640C">
              <w:rPr>
                <w:sz w:val="22"/>
              </w:rPr>
              <w:t>provide a good reason for the views they have and the connections they make.</w:t>
            </w:r>
          </w:p>
        </w:tc>
      </w:tr>
      <w:tr w:rsidR="00010F1A" w:rsidRPr="00E6465C">
        <w:tc>
          <w:tcPr>
            <w:tcW w:w="14709" w:type="dxa"/>
            <w:gridSpan w:val="5"/>
          </w:tcPr>
          <w:p w:rsidR="00010F1A" w:rsidRPr="003E52D7" w:rsidRDefault="00F03338" w:rsidP="00E6465C">
            <w:pPr>
              <w:spacing w:before="60" w:after="60"/>
              <w:rPr>
                <w:sz w:val="22"/>
              </w:rPr>
            </w:pPr>
            <w:r w:rsidRPr="00E6465C">
              <w:rPr>
                <w:b/>
                <w:sz w:val="22"/>
              </w:rPr>
              <w:t xml:space="preserve">Context / Prior Learning: </w:t>
            </w:r>
            <w:r w:rsidR="00EF6157" w:rsidRPr="00E6465C">
              <w:rPr>
                <w:sz w:val="22"/>
              </w:rPr>
              <w:t xml:space="preserve">Pupils </w:t>
            </w:r>
            <w:r w:rsidR="00E6465C" w:rsidRPr="00E6465C">
              <w:rPr>
                <w:sz w:val="22"/>
              </w:rPr>
              <w:t xml:space="preserve">have watched the TrueTube Charlie and Blue film on the Passover: </w:t>
            </w:r>
            <w:hyperlink r:id="rId8" w:history="1">
              <w:r w:rsidR="00E6465C" w:rsidRPr="00BA0ACF">
                <w:rPr>
                  <w:rStyle w:val="Hyperlink"/>
                  <w:sz w:val="22"/>
                </w:rPr>
                <w:t>https://www.truetube.co.uk/film/charlie-and-blue-celebrate-passover</w:t>
              </w:r>
            </w:hyperlink>
            <w:r w:rsidR="00E6465C">
              <w:rPr>
                <w:sz w:val="22"/>
              </w:rPr>
              <w:t xml:space="preserve"> and are following the downloadable lesson plan: </w:t>
            </w:r>
            <w:hyperlink r:id="rId9" w:history="1">
              <w:r w:rsidR="00E6465C" w:rsidRPr="00BA0ACF">
                <w:rPr>
                  <w:rStyle w:val="Hyperlink"/>
                  <w:sz w:val="22"/>
                </w:rPr>
                <w:t>https://www.truetube.co.uk/film/charlie-and-blue-celebrate-passover?tab=lesson_plan</w:t>
              </w:r>
            </w:hyperlink>
            <w:r w:rsidR="00E6465C">
              <w:rPr>
                <w:sz w:val="22"/>
              </w:rPr>
              <w:t xml:space="preserve"> </w:t>
            </w:r>
            <w:r w:rsidR="003E52D7">
              <w:rPr>
                <w:sz w:val="22"/>
              </w:rPr>
              <w:t xml:space="preserve">They have been provided with information about </w:t>
            </w:r>
            <w:r w:rsidR="00AB3739">
              <w:rPr>
                <w:sz w:val="22"/>
              </w:rPr>
              <w:t>the symbolism of the foods on the Seder plat</w:t>
            </w:r>
            <w:r w:rsidR="003E52D7">
              <w:rPr>
                <w:sz w:val="22"/>
              </w:rPr>
              <w:t xml:space="preserve">e, e.g., from </w:t>
            </w:r>
            <w:hyperlink r:id="rId10" w:history="1">
              <w:r w:rsidR="003E52D7" w:rsidRPr="00BA0ACF">
                <w:rPr>
                  <w:rStyle w:val="Hyperlink"/>
                  <w:sz w:val="22"/>
                </w:rPr>
                <w:t>https://reformjudaism.org/jewish-holidays/passover/learn-about-passover-seder-plate</w:t>
              </w:r>
            </w:hyperlink>
            <w:r w:rsidR="003E52D7">
              <w:rPr>
                <w:sz w:val="22"/>
              </w:rPr>
              <w:t xml:space="preserve"> </w:t>
            </w:r>
          </w:p>
        </w:tc>
      </w:tr>
      <w:tr w:rsidR="00010F1A" w:rsidRPr="00D208BB">
        <w:tc>
          <w:tcPr>
            <w:tcW w:w="4644" w:type="dxa"/>
            <w:gridSpan w:val="2"/>
          </w:tcPr>
          <w:p w:rsidR="00010F1A" w:rsidRPr="00D208BB" w:rsidRDefault="00010F1A" w:rsidP="00153D68">
            <w:pPr>
              <w:spacing w:before="60" w:after="60"/>
              <w:rPr>
                <w:b/>
                <w:bCs/>
              </w:rPr>
            </w:pPr>
            <w:r w:rsidRPr="00D208BB">
              <w:rPr>
                <w:b/>
                <w:bCs/>
                <w:sz w:val="22"/>
              </w:rPr>
              <w:t>Assessment Activity</w:t>
            </w:r>
            <w:r w:rsidR="006E4AE5" w:rsidRPr="00D208BB">
              <w:rPr>
                <w:b/>
                <w:bCs/>
                <w:sz w:val="22"/>
              </w:rPr>
              <w:t xml:space="preserve"> – Pupils:</w:t>
            </w:r>
          </w:p>
        </w:tc>
        <w:tc>
          <w:tcPr>
            <w:tcW w:w="3355" w:type="dxa"/>
          </w:tcPr>
          <w:p w:rsidR="00010F1A" w:rsidRPr="00D208BB" w:rsidRDefault="00010F1A" w:rsidP="00153D68">
            <w:pPr>
              <w:spacing w:before="60" w:after="60"/>
              <w:rPr>
                <w:b/>
                <w:bCs/>
              </w:rPr>
            </w:pPr>
            <w:r w:rsidRPr="00D208BB">
              <w:rPr>
                <w:b/>
                <w:bCs/>
                <w:sz w:val="22"/>
              </w:rPr>
              <w:t>Developing</w:t>
            </w:r>
            <w:r w:rsidR="0044422B" w:rsidRPr="00D208BB">
              <w:rPr>
                <w:b/>
                <w:bCs/>
                <w:sz w:val="22"/>
              </w:rPr>
              <w:t xml:space="preserve"> – Pupils: </w:t>
            </w:r>
            <w:r w:rsidR="006E4AE5" w:rsidRPr="00D208BB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355" w:type="dxa"/>
          </w:tcPr>
          <w:p w:rsidR="00010F1A" w:rsidRPr="00D208BB" w:rsidRDefault="00010F1A" w:rsidP="00153D68">
            <w:pPr>
              <w:spacing w:before="60" w:after="60"/>
              <w:rPr>
                <w:b/>
                <w:bCs/>
              </w:rPr>
            </w:pPr>
            <w:r w:rsidRPr="00D208BB">
              <w:rPr>
                <w:b/>
                <w:bCs/>
                <w:sz w:val="22"/>
              </w:rPr>
              <w:t>Secure</w:t>
            </w:r>
            <w:r w:rsidR="006E4AE5" w:rsidRPr="00D208BB">
              <w:rPr>
                <w:b/>
                <w:bCs/>
                <w:sz w:val="22"/>
              </w:rPr>
              <w:t xml:space="preserve"> – Pupils: </w:t>
            </w:r>
          </w:p>
        </w:tc>
        <w:tc>
          <w:tcPr>
            <w:tcW w:w="3355" w:type="dxa"/>
          </w:tcPr>
          <w:p w:rsidR="00010F1A" w:rsidRPr="00D208BB" w:rsidRDefault="00010F1A" w:rsidP="00153D68">
            <w:pPr>
              <w:spacing w:before="60" w:after="60"/>
              <w:rPr>
                <w:b/>
                <w:bCs/>
              </w:rPr>
            </w:pPr>
            <w:r w:rsidRPr="00D208BB">
              <w:rPr>
                <w:b/>
                <w:bCs/>
                <w:sz w:val="22"/>
              </w:rPr>
              <w:t>Exceeding</w:t>
            </w:r>
            <w:r w:rsidR="006E4AE5" w:rsidRPr="00D208BB">
              <w:rPr>
                <w:b/>
                <w:bCs/>
                <w:sz w:val="22"/>
              </w:rPr>
              <w:t xml:space="preserve"> – Pupils:</w:t>
            </w:r>
          </w:p>
        </w:tc>
      </w:tr>
      <w:tr w:rsidR="00010F1A" w:rsidRPr="00F00FB2">
        <w:tc>
          <w:tcPr>
            <w:tcW w:w="4644" w:type="dxa"/>
            <w:gridSpan w:val="2"/>
          </w:tcPr>
          <w:p w:rsidR="00AB3739" w:rsidRPr="00F1604D" w:rsidRDefault="00AB3739" w:rsidP="00AB3739">
            <w:pPr>
              <w:pStyle w:val="ListParagraph"/>
              <w:numPr>
                <w:ilvl w:val="0"/>
                <w:numId w:val="9"/>
              </w:numPr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F1604D">
              <w:rPr>
                <w:sz w:val="22"/>
              </w:rPr>
              <w:t>watch again the Charlie &amp; Blue film up to the point where Blue asks, “Do you eat all the things on this plate?” (1:27 to 2:20)</w:t>
            </w:r>
            <w:r w:rsidR="00F1604D">
              <w:rPr>
                <w:sz w:val="22"/>
              </w:rPr>
              <w:t>, talk about what interests or puzzles them in the film,</w:t>
            </w:r>
            <w:r w:rsidRPr="00F1604D">
              <w:rPr>
                <w:sz w:val="22"/>
              </w:rPr>
              <w:t xml:space="preserve"> and then work in pairs to identify some of the things on the Seder plate using the information provided (see context / prior learning above); </w:t>
            </w:r>
          </w:p>
          <w:p w:rsidR="00010F1A" w:rsidRPr="009254B2" w:rsidRDefault="00AB3739" w:rsidP="009254B2">
            <w:pPr>
              <w:pStyle w:val="ListParagraph"/>
              <w:numPr>
                <w:ilvl w:val="0"/>
                <w:numId w:val="9"/>
              </w:numPr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F1604D">
              <w:rPr>
                <w:sz w:val="22"/>
              </w:rPr>
              <w:t xml:space="preserve">watch the next part of the film up to the point where Blue is given a copy of the Seder Haggadah (2:20 to 4:17), recall the main parts of the story and </w:t>
            </w:r>
            <w:r w:rsidR="003E2766" w:rsidRPr="00F1604D">
              <w:rPr>
                <w:sz w:val="22"/>
              </w:rPr>
              <w:t xml:space="preserve">say </w:t>
            </w:r>
            <w:r w:rsidRPr="009254B2">
              <w:rPr>
                <w:b/>
                <w:sz w:val="22"/>
              </w:rPr>
              <w:t>why</w:t>
            </w:r>
            <w:r w:rsidRPr="00F1604D">
              <w:rPr>
                <w:sz w:val="22"/>
              </w:rPr>
              <w:t xml:space="preserve"> they think that Jewish people eat the different foods on the Seder plate, even the ones that do not taste nice</w:t>
            </w:r>
            <w:r w:rsidR="009254B2">
              <w:rPr>
                <w:sz w:val="22"/>
              </w:rPr>
              <w:t>.</w:t>
            </w:r>
          </w:p>
        </w:tc>
        <w:tc>
          <w:tcPr>
            <w:tcW w:w="3355" w:type="dxa"/>
          </w:tcPr>
          <w:p w:rsidR="00EF6157" w:rsidRPr="00341C78" w:rsidRDefault="00EF6157" w:rsidP="00153D68">
            <w:pPr>
              <w:pStyle w:val="Style1"/>
              <w:contextualSpacing w:val="0"/>
            </w:pPr>
            <w:r w:rsidRPr="00341C78">
              <w:rPr>
                <w:sz w:val="22"/>
              </w:rPr>
              <w:t xml:space="preserve">recognise </w:t>
            </w:r>
            <w:r w:rsidR="006002B3" w:rsidRPr="00341C78">
              <w:rPr>
                <w:sz w:val="22"/>
              </w:rPr>
              <w:t>that</w:t>
            </w:r>
            <w:r w:rsidR="00B735E2" w:rsidRPr="00341C78">
              <w:rPr>
                <w:sz w:val="22"/>
              </w:rPr>
              <w:t xml:space="preserve"> </w:t>
            </w:r>
            <w:r w:rsidR="009254B2" w:rsidRPr="00341C78">
              <w:rPr>
                <w:sz w:val="22"/>
              </w:rPr>
              <w:t>Pesach / Passover</w:t>
            </w:r>
            <w:r w:rsidR="00B735E2" w:rsidRPr="00341C78">
              <w:rPr>
                <w:sz w:val="22"/>
              </w:rPr>
              <w:t xml:space="preserve"> is a special </w:t>
            </w:r>
            <w:r w:rsidR="009254B2" w:rsidRPr="00341C78">
              <w:rPr>
                <w:sz w:val="22"/>
              </w:rPr>
              <w:t>time for Jewish people</w:t>
            </w:r>
            <w:r w:rsidR="006E4AE5" w:rsidRPr="00341C78">
              <w:rPr>
                <w:sz w:val="22"/>
              </w:rPr>
              <w:t>;</w:t>
            </w:r>
          </w:p>
          <w:p w:rsidR="00EF6157" w:rsidRPr="00341C78" w:rsidRDefault="00716FBA" w:rsidP="00153D68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</w:pPr>
            <w:r>
              <w:rPr>
                <w:sz w:val="22"/>
              </w:rPr>
              <w:t>recall one of the key features of</w:t>
            </w:r>
            <w:r w:rsidR="0040644D" w:rsidRPr="00341C78">
              <w:rPr>
                <w:sz w:val="22"/>
              </w:rPr>
              <w:t xml:space="preserve"> </w:t>
            </w:r>
            <w:r w:rsidR="007831D6" w:rsidRPr="00341C78">
              <w:rPr>
                <w:sz w:val="22"/>
              </w:rPr>
              <w:t>the</w:t>
            </w:r>
            <w:r w:rsidR="009254B2" w:rsidRPr="00341C78">
              <w:rPr>
                <w:sz w:val="22"/>
              </w:rPr>
              <w:t xml:space="preserve"> Passover</w:t>
            </w:r>
            <w:r w:rsidR="007831D6" w:rsidRPr="00341C78">
              <w:rPr>
                <w:sz w:val="22"/>
              </w:rPr>
              <w:t xml:space="preserve"> meal</w:t>
            </w:r>
            <w:r w:rsidR="006E4AE5" w:rsidRPr="00341C78">
              <w:rPr>
                <w:sz w:val="22"/>
              </w:rPr>
              <w:t>;</w:t>
            </w:r>
          </w:p>
          <w:p w:rsidR="00010F1A" w:rsidRPr="00341C78" w:rsidRDefault="00EF6157" w:rsidP="00341C78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</w:pPr>
            <w:r w:rsidRPr="00341C78">
              <w:rPr>
                <w:sz w:val="22"/>
              </w:rPr>
              <w:t xml:space="preserve">say </w:t>
            </w:r>
            <w:r w:rsidR="00341C78" w:rsidRPr="00341C78">
              <w:rPr>
                <w:sz w:val="22"/>
              </w:rPr>
              <w:t>what</w:t>
            </w:r>
            <w:r w:rsidRPr="00341C78">
              <w:rPr>
                <w:sz w:val="22"/>
              </w:rPr>
              <w:t xml:space="preserve"> </w:t>
            </w:r>
            <w:r w:rsidR="00341C78" w:rsidRPr="00341C78">
              <w:rPr>
                <w:sz w:val="22"/>
              </w:rPr>
              <w:t>an item from the Seder plate</w:t>
            </w:r>
            <w:r w:rsidR="0040644D" w:rsidRPr="00341C78">
              <w:rPr>
                <w:sz w:val="22"/>
              </w:rPr>
              <w:t xml:space="preserve"> </w:t>
            </w:r>
            <w:r w:rsidR="00341C78" w:rsidRPr="00341C78">
              <w:rPr>
                <w:sz w:val="22"/>
              </w:rPr>
              <w:t>might remind Jews of</w:t>
            </w:r>
            <w:r w:rsidR="00A7105D" w:rsidRPr="00341C78">
              <w:rPr>
                <w:sz w:val="22"/>
              </w:rPr>
              <w:t>,</w:t>
            </w:r>
            <w:r w:rsidR="008E270B" w:rsidRPr="00341C78">
              <w:rPr>
                <w:sz w:val="22"/>
              </w:rPr>
              <w:t xml:space="preserve"> e.g.</w:t>
            </w:r>
            <w:r w:rsidR="00A7105D" w:rsidRPr="00341C78">
              <w:rPr>
                <w:sz w:val="22"/>
              </w:rPr>
              <w:t>,</w:t>
            </w:r>
            <w:r w:rsidR="008E270B" w:rsidRPr="00341C78">
              <w:rPr>
                <w:sz w:val="22"/>
              </w:rPr>
              <w:t xml:space="preserve"> </w:t>
            </w:r>
            <w:r w:rsidR="00341C78" w:rsidRPr="00341C78">
              <w:rPr>
                <w:sz w:val="22"/>
              </w:rPr>
              <w:t>the roast egg might remind them of Spring, when the Passover is celebrated.</w:t>
            </w:r>
          </w:p>
        </w:tc>
        <w:tc>
          <w:tcPr>
            <w:tcW w:w="3355" w:type="dxa"/>
          </w:tcPr>
          <w:p w:rsidR="00D208BB" w:rsidRPr="0038640C" w:rsidRDefault="00D208BB" w:rsidP="00153D68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38640C">
              <w:rPr>
                <w:sz w:val="22"/>
              </w:rPr>
              <w:t>talk about what puzzled or interested them about what Rachel does at the Seder meal</w:t>
            </w:r>
            <w:r w:rsidR="00900BED" w:rsidRPr="0038640C">
              <w:rPr>
                <w:sz w:val="22"/>
              </w:rPr>
              <w:t>;</w:t>
            </w:r>
          </w:p>
          <w:p w:rsidR="00D208BB" w:rsidRPr="0038640C" w:rsidRDefault="00D208BB" w:rsidP="00153D68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38640C">
              <w:rPr>
                <w:sz w:val="22"/>
              </w:rPr>
              <w:t xml:space="preserve">recall the key features of the Seder meal and the events they commemorate; </w:t>
            </w:r>
          </w:p>
          <w:p w:rsidR="00010F1A" w:rsidRPr="0038640C" w:rsidRDefault="00D208BB" w:rsidP="00D208BB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38640C">
              <w:rPr>
                <w:sz w:val="22"/>
              </w:rPr>
              <w:t>provide a good reason for the views they have and the connections they make.</w:t>
            </w:r>
          </w:p>
        </w:tc>
        <w:tc>
          <w:tcPr>
            <w:tcW w:w="3355" w:type="dxa"/>
          </w:tcPr>
          <w:p w:rsidR="00CB1955" w:rsidRPr="00CB1955" w:rsidRDefault="00CB1955" w:rsidP="00CB1955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</w:pPr>
            <w:r w:rsidRPr="00CB1955">
              <w:rPr>
                <w:sz w:val="22"/>
              </w:rPr>
              <w:t>ask relevant questions about the features of the Passover celebration and find an answer which relates to the story of the Exodus;</w:t>
            </w:r>
          </w:p>
          <w:p w:rsidR="00EF6157" w:rsidRPr="00CB1955" w:rsidRDefault="00CB1955" w:rsidP="00153D68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</w:pPr>
            <w:r w:rsidRPr="00CB1955">
              <w:rPr>
                <w:sz w:val="22"/>
              </w:rPr>
              <w:t>describe one of the ways in which Jewish people symbolise their beliefs about God through the Passover celebration</w:t>
            </w:r>
            <w:r>
              <w:rPr>
                <w:sz w:val="22"/>
              </w:rPr>
              <w:t xml:space="preserve">, e.g., in </w:t>
            </w:r>
            <w:r w:rsidR="00303DE4">
              <w:rPr>
                <w:sz w:val="22"/>
              </w:rPr>
              <w:t>retelling the story of</w:t>
            </w:r>
            <w:r>
              <w:rPr>
                <w:sz w:val="22"/>
              </w:rPr>
              <w:t xml:space="preserve"> how they were saved from slavery in Egypt</w:t>
            </w:r>
            <w:r w:rsidR="006E4AE5" w:rsidRPr="00CB1955">
              <w:rPr>
                <w:sz w:val="22"/>
              </w:rPr>
              <w:t>;</w:t>
            </w:r>
            <w:r w:rsidR="00EF6157" w:rsidRPr="00CB1955">
              <w:rPr>
                <w:sz w:val="22"/>
              </w:rPr>
              <w:t xml:space="preserve"> </w:t>
            </w:r>
          </w:p>
          <w:p w:rsidR="00010F1A" w:rsidRPr="00CB1955" w:rsidRDefault="00CB1955" w:rsidP="00153D68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</w:pPr>
            <w:r w:rsidRPr="00CB1955">
              <w:rPr>
                <w:sz w:val="22"/>
              </w:rPr>
              <w:t>provide good reasons why Jewish people remember the Exodus to this day</w:t>
            </w:r>
            <w:r w:rsidR="00263226" w:rsidRPr="00CB1955">
              <w:rPr>
                <w:sz w:val="22"/>
              </w:rPr>
              <w:t>.</w:t>
            </w:r>
          </w:p>
        </w:tc>
      </w:tr>
      <w:tr w:rsidR="00EF6157" w:rsidRPr="00F00FB2">
        <w:trPr>
          <w:trHeight w:val="1285"/>
        </w:trPr>
        <w:tc>
          <w:tcPr>
            <w:tcW w:w="2376" w:type="dxa"/>
          </w:tcPr>
          <w:p w:rsidR="00EF6157" w:rsidRPr="00F00FB2" w:rsidRDefault="00EF6157" w:rsidP="00153D68">
            <w:pPr>
              <w:spacing w:before="60" w:after="60"/>
              <w:rPr>
                <w:b/>
                <w:bCs/>
              </w:rPr>
            </w:pPr>
            <w:r w:rsidRPr="00F00FB2">
              <w:rPr>
                <w:b/>
                <w:bCs/>
                <w:sz w:val="22"/>
              </w:rPr>
              <w:t>Key Concepts</w:t>
            </w:r>
          </w:p>
          <w:p w:rsidR="00E6465C" w:rsidRPr="00E6465C" w:rsidRDefault="00E6465C" w:rsidP="00153D68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>
              <w:rPr>
                <w:bCs/>
                <w:sz w:val="22"/>
              </w:rPr>
              <w:t>Pesach / Passover</w:t>
            </w:r>
          </w:p>
          <w:p w:rsidR="00303DE4" w:rsidRPr="00303DE4" w:rsidRDefault="00E6465C" w:rsidP="00153D68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>
              <w:rPr>
                <w:bCs/>
                <w:sz w:val="22"/>
              </w:rPr>
              <w:t>Seder</w:t>
            </w:r>
          </w:p>
          <w:p w:rsidR="00EF6157" w:rsidRPr="00F00FB2" w:rsidRDefault="00303DE4" w:rsidP="00153D68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>
              <w:rPr>
                <w:bCs/>
                <w:sz w:val="22"/>
              </w:rPr>
              <w:t>Exodus</w:t>
            </w:r>
          </w:p>
        </w:tc>
        <w:tc>
          <w:tcPr>
            <w:tcW w:w="2268" w:type="dxa"/>
          </w:tcPr>
          <w:p w:rsidR="0081056C" w:rsidRPr="00F00FB2" w:rsidRDefault="00EF6157" w:rsidP="00153D68">
            <w:pPr>
              <w:spacing w:before="60" w:after="60"/>
              <w:rPr>
                <w:b/>
              </w:rPr>
            </w:pPr>
            <w:r w:rsidRPr="00F00FB2">
              <w:rPr>
                <w:b/>
                <w:sz w:val="22"/>
              </w:rPr>
              <w:t>Pupils’ Attainment (names)</w:t>
            </w:r>
          </w:p>
          <w:p w:rsidR="0081056C" w:rsidRPr="00F00FB2" w:rsidRDefault="0081056C" w:rsidP="00153D68">
            <w:pPr>
              <w:spacing w:before="60" w:after="60"/>
              <w:rPr>
                <w:b/>
              </w:rPr>
            </w:pPr>
          </w:p>
          <w:p w:rsidR="0081056C" w:rsidRPr="00F00FB2" w:rsidRDefault="0081056C" w:rsidP="00153D68">
            <w:pPr>
              <w:spacing w:before="60" w:after="60"/>
              <w:rPr>
                <w:b/>
              </w:rPr>
            </w:pPr>
          </w:p>
          <w:p w:rsidR="00BC3F4D" w:rsidRPr="00F00FB2" w:rsidRDefault="00BC3F4D" w:rsidP="00153D68">
            <w:pPr>
              <w:spacing w:before="60" w:after="60"/>
              <w:rPr>
                <w:bCs/>
              </w:rPr>
            </w:pPr>
          </w:p>
          <w:p w:rsidR="00EF6157" w:rsidRPr="00F00FB2" w:rsidRDefault="00EF6157" w:rsidP="00153D68">
            <w:pPr>
              <w:spacing w:before="60" w:after="60"/>
              <w:rPr>
                <w:bCs/>
              </w:rPr>
            </w:pPr>
          </w:p>
        </w:tc>
        <w:tc>
          <w:tcPr>
            <w:tcW w:w="3355" w:type="dxa"/>
          </w:tcPr>
          <w:p w:rsidR="00EF6157" w:rsidRPr="00F00FB2" w:rsidRDefault="00EF6157" w:rsidP="00153D68">
            <w:pPr>
              <w:spacing w:before="60" w:after="60"/>
              <w:rPr>
                <w:b/>
                <w:bCs/>
              </w:rPr>
            </w:pPr>
          </w:p>
          <w:p w:rsidR="00EF6157" w:rsidRPr="00F00FB2" w:rsidRDefault="00EF6157" w:rsidP="00153D6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355" w:type="dxa"/>
          </w:tcPr>
          <w:p w:rsidR="00EF6157" w:rsidRPr="00F00FB2" w:rsidRDefault="00EF6157" w:rsidP="00153D6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355" w:type="dxa"/>
          </w:tcPr>
          <w:p w:rsidR="00EF6157" w:rsidRPr="00F00FB2" w:rsidRDefault="00EF6157" w:rsidP="00153D68">
            <w:pPr>
              <w:spacing w:before="60" w:after="60"/>
              <w:rPr>
                <w:b/>
                <w:bCs/>
              </w:rPr>
            </w:pPr>
          </w:p>
        </w:tc>
      </w:tr>
    </w:tbl>
    <w:p w:rsidR="00010F1A" w:rsidRPr="0081056C" w:rsidRDefault="00010F1A" w:rsidP="0081056C">
      <w:pPr>
        <w:pStyle w:val="Footer"/>
        <w:rPr>
          <w:rFonts w:ascii="Arial" w:hAnsi="Arial"/>
          <w:sz w:val="18"/>
        </w:rPr>
      </w:pPr>
    </w:p>
    <w:sectPr w:rsidR="00010F1A" w:rsidRPr="0081056C" w:rsidSect="003702B3">
      <w:footerReference w:type="default" r:id="rId11"/>
      <w:pgSz w:w="16838" w:h="11906" w:orient="landscape"/>
      <w:pgMar w:top="737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955" w:rsidRDefault="00CB1955" w:rsidP="00F3782F">
      <w:r>
        <w:separator/>
      </w:r>
    </w:p>
  </w:endnote>
  <w:endnote w:type="continuationSeparator" w:id="0">
    <w:p w:rsidR="00CB1955" w:rsidRDefault="00CB1955" w:rsidP="00F3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55" w:rsidRDefault="00CB1955">
    <w:pPr>
      <w:pStyle w:val="Footer"/>
      <w:rPr>
        <w:rFonts w:ascii="Arial" w:hAnsi="Arial"/>
        <w:sz w:val="18"/>
      </w:rPr>
    </w:pPr>
  </w:p>
  <w:p w:rsidR="00CB1955" w:rsidRPr="0081056C" w:rsidRDefault="00CB1955" w:rsidP="0081056C">
    <w:pPr>
      <w:pStyle w:val="Footer"/>
      <w:jc w:val="center"/>
      <w:rPr>
        <w:rFonts w:ascii="Arial" w:hAnsi="Arial"/>
        <w:sz w:val="18"/>
      </w:rPr>
    </w:pPr>
    <w:r w:rsidRPr="008A7408">
      <w:rPr>
        <w:rFonts w:ascii="Arial" w:hAnsi="Arial"/>
        <w:sz w:val="18"/>
      </w:rPr>
      <w:t>© 201</w:t>
    </w:r>
    <w:r>
      <w:rPr>
        <w:rFonts w:ascii="Arial" w:hAnsi="Arial"/>
        <w:sz w:val="18"/>
      </w:rPr>
      <w:t>7</w:t>
    </w:r>
    <w:r w:rsidRPr="008A7408">
      <w:rPr>
        <w:rFonts w:ascii="Arial" w:hAnsi="Arial"/>
        <w:sz w:val="18"/>
      </w:rPr>
      <w:t xml:space="preserve"> Bath &amp; North East Somerset, Bristol, North Somerset &amp; Haringey Councils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955" w:rsidRDefault="00CB1955" w:rsidP="00F3782F">
      <w:r>
        <w:separator/>
      </w:r>
    </w:p>
  </w:footnote>
  <w:footnote w:type="continuationSeparator" w:id="0">
    <w:p w:rsidR="00CB1955" w:rsidRDefault="00CB1955" w:rsidP="00F3782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30D6B"/>
    <w:multiLevelType w:val="hybridMultilevel"/>
    <w:tmpl w:val="C936BB3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61"/>
    <w:rsid w:val="0000780D"/>
    <w:rsid w:val="00007CB7"/>
    <w:rsid w:val="00010F1A"/>
    <w:rsid w:val="000222B8"/>
    <w:rsid w:val="000752B1"/>
    <w:rsid w:val="00085968"/>
    <w:rsid w:val="000A5F66"/>
    <w:rsid w:val="000F6DC4"/>
    <w:rsid w:val="00122637"/>
    <w:rsid w:val="001468E7"/>
    <w:rsid w:val="00153D68"/>
    <w:rsid w:val="001643B8"/>
    <w:rsid w:val="00263226"/>
    <w:rsid w:val="00303DE4"/>
    <w:rsid w:val="00310AB9"/>
    <w:rsid w:val="003342FF"/>
    <w:rsid w:val="00341C78"/>
    <w:rsid w:val="003702B3"/>
    <w:rsid w:val="003768E6"/>
    <w:rsid w:val="003810BF"/>
    <w:rsid w:val="0038640C"/>
    <w:rsid w:val="003935EF"/>
    <w:rsid w:val="003E2766"/>
    <w:rsid w:val="003E52D7"/>
    <w:rsid w:val="0040119E"/>
    <w:rsid w:val="0040644D"/>
    <w:rsid w:val="0044422B"/>
    <w:rsid w:val="00486578"/>
    <w:rsid w:val="00500F68"/>
    <w:rsid w:val="00550980"/>
    <w:rsid w:val="00553556"/>
    <w:rsid w:val="006002B3"/>
    <w:rsid w:val="006B5CE9"/>
    <w:rsid w:val="006E4AE5"/>
    <w:rsid w:val="00716FBA"/>
    <w:rsid w:val="007209AD"/>
    <w:rsid w:val="00727BD1"/>
    <w:rsid w:val="007613B2"/>
    <w:rsid w:val="007831D6"/>
    <w:rsid w:val="007B1107"/>
    <w:rsid w:val="007D5F56"/>
    <w:rsid w:val="008011D7"/>
    <w:rsid w:val="008050D4"/>
    <w:rsid w:val="0081056C"/>
    <w:rsid w:val="008200C2"/>
    <w:rsid w:val="008407DA"/>
    <w:rsid w:val="0087205B"/>
    <w:rsid w:val="008768C1"/>
    <w:rsid w:val="008E1DD4"/>
    <w:rsid w:val="008E270B"/>
    <w:rsid w:val="008F797A"/>
    <w:rsid w:val="00900BED"/>
    <w:rsid w:val="00917D35"/>
    <w:rsid w:val="009254B2"/>
    <w:rsid w:val="00A56D0B"/>
    <w:rsid w:val="00A65E43"/>
    <w:rsid w:val="00A7105D"/>
    <w:rsid w:val="00A735BA"/>
    <w:rsid w:val="00AB3739"/>
    <w:rsid w:val="00B11DDF"/>
    <w:rsid w:val="00B56C9E"/>
    <w:rsid w:val="00B63661"/>
    <w:rsid w:val="00B73252"/>
    <w:rsid w:val="00B735E2"/>
    <w:rsid w:val="00B91598"/>
    <w:rsid w:val="00B97A89"/>
    <w:rsid w:val="00BC315C"/>
    <w:rsid w:val="00BC3F4D"/>
    <w:rsid w:val="00C76ACC"/>
    <w:rsid w:val="00C97134"/>
    <w:rsid w:val="00CB1955"/>
    <w:rsid w:val="00CE7256"/>
    <w:rsid w:val="00D208BB"/>
    <w:rsid w:val="00D72019"/>
    <w:rsid w:val="00DE711C"/>
    <w:rsid w:val="00E6465C"/>
    <w:rsid w:val="00EC398B"/>
    <w:rsid w:val="00EF6157"/>
    <w:rsid w:val="00F00FB2"/>
    <w:rsid w:val="00F03338"/>
    <w:rsid w:val="00F1604D"/>
    <w:rsid w:val="00F3782F"/>
    <w:rsid w:val="00F84433"/>
    <w:rsid w:val="00FA6A0B"/>
    <w:rsid w:val="00FA7EF3"/>
    <w:rsid w:val="00FB19B8"/>
    <w:rsid w:val="00FD78AA"/>
    <w:rsid w:val="00FE1F3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Footer">
    <w:name w:val="footer"/>
    <w:basedOn w:val="Normal"/>
    <w:link w:val="FooterChar"/>
    <w:rsid w:val="0081056C"/>
    <w:pPr>
      <w:tabs>
        <w:tab w:val="center" w:pos="4320"/>
        <w:tab w:val="right" w:pos="8640"/>
      </w:tabs>
    </w:pPr>
    <w:rPr>
      <w:rFonts w:ascii="Times New Roman" w:hAnsi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8105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810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056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61"/>
    <w:pPr>
      <w:spacing w:after="0" w:line="240" w:lineRule="auto"/>
    </w:pPr>
    <w:rPr>
      <w:rFonts w:ascii="News Gothic MT" w:eastAsia="Times New Roman" w:hAnsi="News Gothic MT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ruetube.co.uk/film/charlie-and-blue-celebrate-passover" TargetMode="External"/><Relationship Id="rId9" Type="http://schemas.openxmlformats.org/officeDocument/2006/relationships/hyperlink" Target="https://www.truetube.co.uk/film/charlie-and-blue-celebrate-passover?tab=lesson_plan" TargetMode="External"/><Relationship Id="rId10" Type="http://schemas.openxmlformats.org/officeDocument/2006/relationships/hyperlink" Target="https://reformjudaism.org/jewish-holidays/passover/learn-about-passover-seder-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44FB-0D87-6D42-814F-13BAE7AB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422</Words>
  <Characters>2411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Dave Francis</cp:lastModifiedBy>
  <cp:revision>10</cp:revision>
  <dcterms:created xsi:type="dcterms:W3CDTF">2017-10-12T10:01:00Z</dcterms:created>
  <dcterms:modified xsi:type="dcterms:W3CDTF">2017-10-12T14:50:00Z</dcterms:modified>
</cp:coreProperties>
</file>